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w w:val="90"/>
        </w:rPr>
        <w:t>AKTE</w:t>
      </w:r>
      <w:r>
        <w:rPr>
          <w:color w:val="1D5191"/>
          <w:spacing w:val="55"/>
        </w:rPr>
        <w:t> </w:t>
      </w:r>
      <w:r>
        <w:rPr>
          <w:color w:val="1D5191"/>
          <w:w w:val="90"/>
        </w:rPr>
        <w:t>VAN</w:t>
      </w:r>
      <w:r>
        <w:rPr>
          <w:color w:val="1D5191"/>
          <w:spacing w:val="55"/>
        </w:rPr>
        <w:t> </w:t>
      </w:r>
      <w:r>
        <w:rPr>
          <w:color w:val="1D5191"/>
          <w:w w:val="90"/>
        </w:rPr>
        <w:t>OVERDRACHT</w:t>
      </w:r>
      <w:r>
        <w:rPr>
          <w:color w:val="1D5191"/>
          <w:spacing w:val="52"/>
        </w:rPr>
        <w:t> </w:t>
      </w:r>
      <w:r>
        <w:rPr>
          <w:color w:val="1D5191"/>
          <w:spacing w:val="-4"/>
          <w:w w:val="90"/>
        </w:rPr>
        <w:t>MERK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3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00"/>
        </w:sectPr>
      </w:pPr>
    </w:p>
    <w:p>
      <w:pPr>
        <w:pStyle w:val="BodyText"/>
        <w:spacing w:line="501" w:lineRule="auto" w:before="92"/>
        <w:ind w:left="119" w:right="7052"/>
      </w:pPr>
      <w:r>
        <w:rPr>
          <w:color w:val="231F20"/>
          <w:spacing w:val="-6"/>
        </w:rPr>
        <w:t>AKTE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VAN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OVERDRACHT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MERK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0" w:after="0"/>
        <w:ind w:left="119" w:right="28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(«Overdrager»); 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1" w:after="0"/>
        <w:ind w:left="119" w:right="28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(«Verkrijger»).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208"/>
      </w:pPr>
      <w:r>
        <w:rPr>
          <w:color w:val="231F20"/>
        </w:rPr>
        <w:t>Overdrager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Verkrijger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9" w:lineRule="auto" w:before="0" w:after="0"/>
        <w:ind w:left="119" w:right="371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houder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Benelux-merk,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06,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2024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nummer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waar- 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bewijs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inschrijving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aangehecht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«Merk»);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0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Merk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Merk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verkrijgen.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Overdracht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0" w:after="0"/>
        <w:ind w:left="119" w:right="12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onmiddellijke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ingang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exclusief,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beperking over aan Verkrijger en levert onvoorwaardelijk en zonder enige beperking aan Verkrijger alle rechten op het Merk. Verkrijger aanvaardt deze overdracht en levering van de rechten op het Merk.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3" w:after="0"/>
        <w:ind w:left="119" w:right="362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krijgt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Merk.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binnen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dagen na ondertekening van deze akte betalen.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Garanties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volmacht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117" w:firstLine="0"/>
        <w:jc w:val="left"/>
        <w:rPr>
          <w:sz w:val="24"/>
        </w:rPr>
      </w:pPr>
      <w:r>
        <w:rPr>
          <w:color w:val="231F20"/>
          <w:sz w:val="24"/>
        </w:rPr>
        <w:t>Overdrager garandeert rechthebbende te zijn op het Merk en bevoegd te zijn deze akte aan te gaan. Daar- naast garandeert Overdrager dat het Merk voldoet aan alle formele en materiële vereisten voor een geldige registratie,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overgedragen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licenties,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pandrecht,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beslag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enig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ander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 of aanspraak van een derde rust.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4" w:after="0"/>
        <w:ind w:left="119" w:right="27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vrijwaart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aanspraken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ver- goeden (waaronder mede begrepen de kosten van juridische bijstand) die uit dergelijke aanspraken voort- </w:t>
      </w:r>
      <w:r>
        <w:rPr>
          <w:color w:val="231F20"/>
          <w:spacing w:val="-2"/>
          <w:sz w:val="24"/>
        </w:rPr>
        <w:t>vloeien.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3" w:after="0"/>
        <w:ind w:left="119" w:right="205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geeft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hierdoor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onherroepelijke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overdracht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Merk in de betreffende registers te (doen) registreren, welke volmacht door Verkrijger aanvaardt wordt, en Over- drager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verbindt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handelingen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noodzakelijk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zijn om deze overdracht te doen plaatsvinden.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33"/>
      </w:pPr>
      <w:r>
        <w:rPr>
          <w:color w:val="231F20"/>
        </w:rPr>
        <w:t>Indien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bepaling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akte</w:t>
      </w:r>
      <w:r>
        <w:rPr>
          <w:color w:val="231F20"/>
          <w:spacing w:val="-7"/>
        </w:rPr>
        <w:t> </w:t>
      </w:r>
      <w:r>
        <w:rPr>
          <w:color w:val="231F20"/>
        </w:rPr>
        <w:t>nietig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wel</w:t>
      </w:r>
      <w:r>
        <w:rPr>
          <w:color w:val="231F20"/>
          <w:spacing w:val="-7"/>
        </w:rPr>
        <w:t> </w:t>
      </w:r>
      <w:r>
        <w:rPr>
          <w:color w:val="231F20"/>
        </w:rPr>
        <w:t>onverbindend</w:t>
      </w:r>
      <w:r>
        <w:rPr>
          <w:color w:val="231F20"/>
          <w:spacing w:val="-7"/>
        </w:rPr>
        <w:t> </w:t>
      </w:r>
      <w:r>
        <w:rPr>
          <w:color w:val="231F20"/>
        </w:rPr>
        <w:t>mocht</w:t>
      </w:r>
      <w:r>
        <w:rPr>
          <w:color w:val="231F20"/>
          <w:spacing w:val="-7"/>
        </w:rPr>
        <w:t> </w:t>
      </w:r>
      <w:r>
        <w:rPr>
          <w:color w:val="231F20"/>
        </w:rPr>
        <w:t>blijken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zijn,</w:t>
      </w:r>
      <w:r>
        <w:rPr>
          <w:color w:val="231F20"/>
          <w:spacing w:val="-7"/>
        </w:rPr>
        <w:t> </w:t>
      </w:r>
      <w:r>
        <w:rPr>
          <w:color w:val="231F20"/>
        </w:rPr>
        <w:t>blijven</w:t>
      </w:r>
      <w:r>
        <w:rPr>
          <w:color w:val="231F20"/>
          <w:spacing w:val="-7"/>
        </w:rPr>
        <w:t> </w:t>
      </w:r>
      <w:r>
        <w:rPr>
          <w:color w:val="231F20"/>
        </w:rPr>
        <w:t>Partijen</w:t>
      </w:r>
      <w:r>
        <w:rPr>
          <w:color w:val="231F20"/>
          <w:spacing w:val="-7"/>
        </w:rPr>
        <w:t> </w:t>
      </w:r>
      <w:r>
        <w:rPr>
          <w:color w:val="231F20"/>
        </w:rPr>
        <w:t>gebon- den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overige</w:t>
      </w:r>
      <w:r>
        <w:rPr>
          <w:color w:val="231F20"/>
          <w:spacing w:val="-4"/>
        </w:rPr>
        <w:t> </w:t>
      </w:r>
      <w:r>
        <w:rPr>
          <w:color w:val="231F20"/>
        </w:rPr>
        <w:t>bepalingen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deze</w:t>
      </w:r>
      <w:r>
        <w:rPr>
          <w:color w:val="231F20"/>
          <w:spacing w:val="-4"/>
        </w:rPr>
        <w:t> </w:t>
      </w:r>
      <w:r>
        <w:rPr>
          <w:color w:val="231F20"/>
        </w:rPr>
        <w:t>akte.</w:t>
      </w:r>
      <w:r>
        <w:rPr>
          <w:color w:val="231F20"/>
          <w:spacing w:val="-4"/>
        </w:rPr>
        <w:t> </w:t>
      </w:r>
      <w:r>
        <w:rPr>
          <w:color w:val="231F20"/>
        </w:rPr>
        <w:t>Partijen</w:t>
      </w:r>
      <w:r>
        <w:rPr>
          <w:color w:val="231F20"/>
          <w:spacing w:val="-4"/>
        </w:rPr>
        <w:t> </w:t>
      </w:r>
      <w:r>
        <w:rPr>
          <w:color w:val="231F20"/>
        </w:rPr>
        <w:t>zullen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nietige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4"/>
        </w:rPr>
        <w:t> </w:t>
      </w:r>
      <w:r>
        <w:rPr>
          <w:color w:val="231F20"/>
        </w:rPr>
        <w:t>wel</w:t>
      </w:r>
      <w:r>
        <w:rPr>
          <w:color w:val="231F20"/>
          <w:spacing w:val="-4"/>
        </w:rPr>
        <w:t> </w:t>
      </w:r>
      <w:r>
        <w:rPr>
          <w:color w:val="231F20"/>
        </w:rPr>
        <w:t>onverbindende</w:t>
      </w:r>
      <w:r>
        <w:rPr>
          <w:color w:val="231F20"/>
          <w:spacing w:val="-4"/>
        </w:rPr>
        <w:t> </w:t>
      </w:r>
      <w:r>
        <w:rPr>
          <w:color w:val="231F20"/>
        </w:rPr>
        <w:t>bepaling(en) vervangen</w:t>
      </w:r>
      <w:r>
        <w:rPr>
          <w:color w:val="231F20"/>
          <w:spacing w:val="-2"/>
        </w:rPr>
        <w:t> </w:t>
      </w:r>
      <w:r>
        <w:rPr>
          <w:color w:val="231F20"/>
        </w:rPr>
        <w:t>door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2"/>
        </w:rPr>
        <w:t> </w:t>
      </w:r>
      <w:r>
        <w:rPr>
          <w:color w:val="231F20"/>
        </w:rPr>
        <w:t>bepaling</w:t>
      </w:r>
      <w:r>
        <w:rPr>
          <w:color w:val="231F20"/>
          <w:spacing w:val="-2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 </w:t>
      </w:r>
      <w:r>
        <w:rPr>
          <w:color w:val="231F20"/>
        </w:rPr>
        <w:t>wel</w:t>
      </w:r>
      <w:r>
        <w:rPr>
          <w:color w:val="231F20"/>
          <w:spacing w:val="-2"/>
        </w:rPr>
        <w:t> </w:t>
      </w:r>
      <w:r>
        <w:rPr>
          <w:color w:val="231F20"/>
        </w:rPr>
        <w:t>verbindend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waarvan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strekking</w:t>
      </w:r>
      <w:r>
        <w:rPr>
          <w:color w:val="231F20"/>
          <w:spacing w:val="-2"/>
        </w:rPr>
        <w:t> </w:t>
      </w:r>
      <w:r>
        <w:rPr>
          <w:color w:val="231F20"/>
        </w:rPr>
        <w:t>zoveel</w:t>
      </w:r>
      <w:r>
        <w:rPr>
          <w:color w:val="231F20"/>
          <w:spacing w:val="-2"/>
        </w:rPr>
        <w:t> </w:t>
      </w:r>
      <w:r>
        <w:rPr>
          <w:color w:val="231F20"/>
        </w:rPr>
        <w:t>mogelijk</w:t>
      </w:r>
      <w:r>
        <w:rPr>
          <w:color w:val="231F20"/>
          <w:spacing w:val="-2"/>
        </w:rPr>
        <w:t> </w:t>
      </w:r>
      <w:r>
        <w:rPr>
          <w:color w:val="231F20"/>
        </w:rPr>
        <w:t>dezelfde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als die van de te vervangen bepaling(en), rekening houdend met het oogmerk van deze akte.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806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akte</w:t>
      </w:r>
      <w:r>
        <w:rPr>
          <w:color w:val="231F20"/>
          <w:spacing w:val="-15"/>
        </w:rPr>
        <w:t> </w:t>
      </w:r>
      <w:r>
        <w:rPr>
          <w:color w:val="231F20"/>
        </w:rPr>
        <w:t>kan</w:t>
      </w:r>
      <w:r>
        <w:rPr>
          <w:color w:val="231F20"/>
          <w:spacing w:val="-15"/>
        </w:rPr>
        <w:t> </w:t>
      </w:r>
      <w:r>
        <w:rPr>
          <w:color w:val="231F20"/>
        </w:rPr>
        <w:t>alleen</w:t>
      </w:r>
      <w:r>
        <w:rPr>
          <w:color w:val="231F20"/>
          <w:spacing w:val="-15"/>
        </w:rPr>
        <w:t> </w:t>
      </w:r>
      <w:r>
        <w:rPr>
          <w:color w:val="231F20"/>
        </w:rPr>
        <w:t>schriftelijk</w:t>
      </w:r>
      <w:r>
        <w:rPr>
          <w:color w:val="231F20"/>
          <w:spacing w:val="-15"/>
        </w:rPr>
        <w:t> </w:t>
      </w:r>
      <w:r>
        <w:rPr>
          <w:color w:val="231F20"/>
        </w:rPr>
        <w:t>worden</w:t>
      </w:r>
      <w:r>
        <w:rPr>
          <w:color w:val="231F20"/>
          <w:spacing w:val="-15"/>
        </w:rPr>
        <w:t> </w:t>
      </w:r>
      <w:r>
        <w:rPr>
          <w:color w:val="231F20"/>
        </w:rPr>
        <w:t>gewijzigd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Partijen. Artikel 5 - Toepasselijk recht en forumkeuze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74" w:lineRule="exact" w:before="0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akte,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5"/>
          <w:sz w:val="24"/>
        </w:rPr>
        <w:t>op-</w:t>
      </w:r>
    </w:p>
    <w:p>
      <w:pPr>
        <w:spacing w:after="0" w:line="274" w:lineRule="exact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0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zichten</w:t>
      </w:r>
      <w:r>
        <w:rPr>
          <w:color w:val="231F20"/>
          <w:spacing w:val="-3"/>
        </w:rPr>
        <w:t> </w:t>
      </w:r>
      <w:r>
        <w:rPr>
          <w:color w:val="231F20"/>
        </w:rPr>
        <w:t>beheerst</w:t>
      </w:r>
      <w:r>
        <w:rPr>
          <w:color w:val="231F20"/>
          <w:spacing w:val="-2"/>
        </w:rPr>
        <w:t> </w:t>
      </w:r>
      <w:r>
        <w:rPr>
          <w:color w:val="231F20"/>
        </w:rPr>
        <w:t>door</w:t>
      </w:r>
      <w:r>
        <w:rPr>
          <w:color w:val="231F20"/>
          <w:spacing w:val="-2"/>
        </w:rPr>
        <w:t> </w:t>
      </w:r>
      <w:r>
        <w:rPr>
          <w:color w:val="231F20"/>
        </w:rPr>
        <w:t>het</w:t>
      </w:r>
      <w:r>
        <w:rPr>
          <w:color w:val="231F20"/>
          <w:spacing w:val="-3"/>
        </w:rPr>
        <w:t> </w:t>
      </w:r>
      <w:r>
        <w:rPr>
          <w:color w:val="231F20"/>
        </w:rPr>
        <w:t>Nederlands</w:t>
      </w:r>
      <w:r>
        <w:rPr>
          <w:color w:val="231F20"/>
          <w:spacing w:val="-2"/>
        </w:rPr>
        <w:t> recht.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12" w:after="0"/>
        <w:ind w:left="119" w:right="303" w:firstLine="0"/>
        <w:jc w:val="left"/>
        <w:rPr>
          <w:sz w:val="24"/>
        </w:rPr>
      </w:pPr>
      <w:r>
        <w:rPr>
          <w:color w:val="231F20"/>
          <w:sz w:val="24"/>
        </w:rPr>
        <w:t>Alle geschillen tussen Partijen, welke mochten ontstaan naar aanleiding van deze akte, dan wel van ove- reenkomsten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akten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beslecht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 bevoegde rechter van Rechtbank Amsterdam.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Aldus</w:t>
      </w:r>
      <w:r>
        <w:rPr>
          <w:color w:val="231F20"/>
          <w:spacing w:val="-15"/>
        </w:rPr>
        <w:t> </w:t>
      </w:r>
      <w:r>
        <w:rPr>
          <w:color w:val="231F20"/>
        </w:rPr>
        <w:t>overeengekomen</w:t>
      </w:r>
      <w:r>
        <w:rPr>
          <w:color w:val="231F20"/>
          <w:spacing w:val="-14"/>
        </w:rPr>
        <w:t> </w:t>
      </w:r>
      <w:r>
        <w:rPr>
          <w:color w:val="231F20"/>
        </w:rPr>
        <w:t>op</w:t>
      </w:r>
      <w:r>
        <w:rPr>
          <w:color w:val="231F20"/>
          <w:spacing w:val="-15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202455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4137pt;width:168pt;height:.1pt;mso-position-horizontal-relative:page;mso-position-vertical-relative:paragraph;z-index:-15727104;mso-wrap-distance-left:0;mso-wrap-distance-right:0" id="docshape8" coordorigin="720,319" coordsize="3360,0" path="m720,319l4080,31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898"/>
      </w:pPr>
      <w:r>
        <w:rPr>
          <w:color w:val="231F20"/>
          <w:spacing w:val="-2"/>
        </w:rPr>
        <w:t>Overdrager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8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195567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399012pt;width:168pt;height:.1pt;mso-position-horizontal-relative:page;mso-position-vertical-relative:paragraph;z-index:-15726592;mso-wrap-distance-left:0;mso-wrap-distance-right:0" id="docshape9" coordorigin="720,308" coordsize="3360,0" path="m720,308l4080,30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611"/>
      </w:pPr>
      <w:r>
        <w:rPr>
          <w:color w:val="231F20"/>
          <w:spacing w:val="-4"/>
        </w:rPr>
        <w:t>Verkrijger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8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sectPr>
      <w:pgSz w:w="11910" w:h="16840"/>
      <w:pgMar w:header="0" w:footer="495" w:top="560" w:bottom="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79724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1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8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2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9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32" w:hanging="22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149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40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2024-03-25T09:26:52Z</dcterms:created>
  <dcterms:modified xsi:type="dcterms:W3CDTF">2024-03-25T09:26:52Z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